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tbl>
      <w:tblPr>
        <w:tblStyle w:val="3"/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4332"/>
        <w:gridCol w:w="2141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  <w:t>绵阳市游仙区2022年公开考调中小学教师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333333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  <w:t>业绩考核评分表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指  标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分  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评定分数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省级教育行政部门组织的学科类现场课堂教学比武、比赛中二等奖及以上获得者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特等奖10分/次，一等奖8分/次，二等奖6分/次。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省级科研成果二等奖及以上获得者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特等奖5分/次，一等奖4分/次，二等奖3分/次。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市（地）级教育行政部门组织的学科类现场课堂教学比武、比赛中二等奖及以上获得者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特等奖8分/次，一等奖6分/次，二等奖4分/次。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市（地）级科研成果二等奖及以上获得者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特等奖4分/次，一等奖3分/次，二等奖2分/次。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县（区）级现场课堂教学比武、比赛中一等奖及以上获得者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特等奖4分/次，一等奖3分/次。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县（区）级科研成果一等奖2次及以上获得者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前2次1分，每增加1次加1分，最多3分。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近3年年度考核优秀获得者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2分/次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获得市（地）级及以上名师工作室领衔人（首席名师）、学科带头人、名师、优秀教师、骨干教师称号的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8分/次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省级及以上“教书育人名教师（名班主任、名校长）”“特级教师”“优秀教师”称号获得者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10分/次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合  计</w:t>
            </w:r>
          </w:p>
        </w:tc>
        <w:tc>
          <w:tcPr>
            <w:tcW w:w="21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备注：累计分数超过30分的按30分计算。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8"/>
    <w:rsid w:val="00433E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2022-08-01T07:32:00Z</dcterms:created>
  <dc:creator>jp</dc:creator>
  <cp:lastModifiedBy>jp</cp:lastModifiedBy>
  <dcterms:modified xsi:type="dcterms:W3CDTF">2022-08-01T07:33:08Z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